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9472" w14:textId="77777777" w:rsidR="008E2EA4" w:rsidRDefault="00BD5180">
      <w:pPr>
        <w:tabs>
          <w:tab w:val="left" w:pos="851"/>
        </w:tabs>
        <w:spacing w:after="0" w:line="240" w:lineRule="auto"/>
        <w:jc w:val="center"/>
      </w:pPr>
      <w:r>
        <w:rPr>
          <w:rFonts w:ascii="Arial" w:eastAsia="Times New Roman" w:hAnsi="Arial"/>
          <w:b/>
          <w:kern w:val="0"/>
          <w:szCs w:val="20"/>
        </w:rPr>
        <w:t>APPENDIX 4</w:t>
      </w:r>
      <w:r>
        <w:rPr>
          <w:rFonts w:ascii="Arial" w:eastAsia="Times New Roman" w:hAnsi="Arial" w:cs="Arial"/>
          <w:b/>
          <w:kern w:val="0"/>
          <w:szCs w:val="20"/>
          <w:lang w:eastAsia="en-IE"/>
        </w:rPr>
        <w:t> </w:t>
      </w:r>
    </w:p>
    <w:p w14:paraId="0F88B0DC" w14:textId="77777777" w:rsidR="008E2EA4" w:rsidRDefault="00BD5180">
      <w:pPr>
        <w:tabs>
          <w:tab w:val="left" w:pos="851"/>
        </w:tabs>
        <w:spacing w:after="0" w:line="240" w:lineRule="auto"/>
        <w:ind w:firstLine="45"/>
        <w:jc w:val="center"/>
        <w:textAlignment w:val="baseline"/>
        <w:rPr>
          <w:rFonts w:ascii="Arial" w:eastAsia="Times New Roman" w:hAnsi="Arial" w:cs="Arial"/>
          <w:spacing w:val="-6"/>
          <w:kern w:val="0"/>
          <w:szCs w:val="20"/>
          <w:lang w:eastAsia="en-IE"/>
        </w:rPr>
      </w:pPr>
      <w:r>
        <w:rPr>
          <w:rFonts w:ascii="Arial" w:eastAsia="Times New Roman" w:hAnsi="Arial" w:cs="Arial"/>
          <w:spacing w:val="-6"/>
          <w:kern w:val="0"/>
          <w:szCs w:val="20"/>
          <w:lang w:eastAsia="en-IE"/>
        </w:rPr>
        <w:t>  </w:t>
      </w:r>
    </w:p>
    <w:p w14:paraId="09F59A6D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b/>
          <w:kern w:val="0"/>
          <w:szCs w:val="20"/>
          <w:lang w:eastAsia="en-IE"/>
        </w:rPr>
        <w:t>TEMPLATE FOR WELL-TO-TANK DEFAULT EMISSION FACTOR SUBMISSION</w:t>
      </w: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2E320B69" w14:textId="77777777" w:rsidR="008E2EA4" w:rsidRDefault="008E2EA4">
      <w:pPr>
        <w:tabs>
          <w:tab w:val="left" w:pos="851"/>
        </w:tabs>
        <w:spacing w:after="0" w:line="240" w:lineRule="auto"/>
        <w:ind w:firstLine="45"/>
        <w:jc w:val="center"/>
        <w:textAlignment w:val="baseline"/>
        <w:rPr>
          <w:rFonts w:ascii="Arial" w:eastAsia="Times New Roman" w:hAnsi="Arial" w:cs="Arial"/>
          <w:spacing w:val="-6"/>
          <w:kern w:val="0"/>
          <w:szCs w:val="20"/>
          <w:lang w:eastAsia="en-IE"/>
        </w:rPr>
      </w:pPr>
    </w:p>
    <w:tbl>
      <w:tblPr>
        <w:tblW w:w="72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</w:tblGrid>
      <w:tr w:rsidR="008E2EA4" w14:paraId="1B92E1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0" w:type="dxa"/>
              <w:right w:w="120" w:type="dxa"/>
            </w:tcMar>
          </w:tcPr>
          <w:p w14:paraId="50EC7D61" w14:textId="77777777" w:rsidR="008E2EA4" w:rsidRDefault="00BD5180">
            <w:pPr>
              <w:tabs>
                <w:tab w:val="left" w:pos="851"/>
              </w:tabs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kern w:val="0"/>
                <w:lang w:val="en-US"/>
              </w:rPr>
              <w:t>SUMMARY</w:t>
            </w:r>
          </w:p>
        </w:tc>
      </w:tr>
      <w:tr w:rsidR="008E2EA4" w14:paraId="770253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0" w:type="dxa"/>
              <w:right w:w="120" w:type="dxa"/>
            </w:tcMar>
          </w:tcPr>
          <w:p w14:paraId="6CF3472C" w14:textId="77777777" w:rsidR="008E2EA4" w:rsidRDefault="00BD5180">
            <w:pPr>
              <w:tabs>
                <w:tab w:val="left" w:pos="851"/>
              </w:tabs>
              <w:autoSpaceDE w:val="0"/>
              <w:spacing w:after="0"/>
              <w:jc w:val="both"/>
              <w:rPr>
                <w:rFonts w:ascii="Arial" w:eastAsia="Times New Roman" w:hAnsi="Arial" w:cs="Arial"/>
                <w:kern w:val="0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</w:rPr>
              <w:t>This document presents a template to provide the minimum set of information to submit values for consideration as Well-to-Tank (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en-US"/>
              </w:rPr>
              <w:t>WtT</w:t>
            </w:r>
            <w:proofErr w:type="spellEnd"/>
            <w:r>
              <w:rPr>
                <w:rFonts w:ascii="Arial" w:eastAsia="Times New Roman" w:hAnsi="Arial" w:cs="Arial"/>
                <w:kern w:val="0"/>
                <w:lang w:val="en-US"/>
              </w:rPr>
              <w:t xml:space="preserve">) default </w:t>
            </w:r>
            <w:r>
              <w:rPr>
                <w:rFonts w:ascii="Arial" w:eastAsia="Times New Roman" w:hAnsi="Arial" w:cs="Arial"/>
                <w:kern w:val="0"/>
                <w:lang w:val="en-US"/>
              </w:rPr>
              <w:t>emission factors.</w:t>
            </w:r>
          </w:p>
          <w:p w14:paraId="4BFE54A6" w14:textId="77777777" w:rsidR="008E2EA4" w:rsidRDefault="008E2EA4">
            <w:pPr>
              <w:tabs>
                <w:tab w:val="left" w:pos="851"/>
              </w:tabs>
              <w:autoSpaceDE w:val="0"/>
              <w:spacing w:after="0"/>
              <w:jc w:val="both"/>
              <w:rPr>
                <w:rFonts w:ascii="Arial" w:eastAsia="Times New Roman" w:hAnsi="Arial" w:cs="Arial"/>
                <w:kern w:val="0"/>
                <w:lang w:val="en-US"/>
              </w:rPr>
            </w:pPr>
          </w:p>
        </w:tc>
      </w:tr>
    </w:tbl>
    <w:p w14:paraId="2F417EA5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kern w:val="0"/>
          <w:szCs w:val="20"/>
          <w:lang w:eastAsia="en-IE"/>
        </w:rPr>
      </w:pPr>
    </w:p>
    <w:p w14:paraId="7EA44E17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kern w:val="0"/>
          <w:szCs w:val="20"/>
          <w:lang w:eastAsia="en-IE"/>
        </w:rPr>
      </w:pPr>
    </w:p>
    <w:p w14:paraId="0054B382" w14:textId="77777777" w:rsidR="008E2EA4" w:rsidRDefault="00BD5180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kern w:val="0"/>
          <w:szCs w:val="20"/>
          <w:lang w:eastAsia="en-IE"/>
        </w:rPr>
      </w:pPr>
      <w:r>
        <w:rPr>
          <w:rFonts w:ascii="Arial" w:eastAsia="Times New Roman" w:hAnsi="Arial" w:cs="Arial"/>
          <w:b/>
          <w:bCs/>
          <w:caps/>
          <w:kern w:val="0"/>
          <w:szCs w:val="20"/>
          <w:lang w:eastAsia="en-IE"/>
        </w:rPr>
        <w:t>INTRODUCTION</w:t>
      </w:r>
    </w:p>
    <w:p w14:paraId="4C772C1C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kern w:val="0"/>
          <w:szCs w:val="20"/>
          <w:lang w:eastAsia="en-IE"/>
        </w:rPr>
      </w:pPr>
    </w:p>
    <w:p w14:paraId="12E41C9F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[This section should clearly present an introduction to the submission.]</w:t>
      </w:r>
    </w:p>
    <w:p w14:paraId="542AB795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</w:pPr>
    </w:p>
    <w:p w14:paraId="05D1B556" w14:textId="77777777" w:rsidR="008E2EA4" w:rsidRDefault="008E2E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aps/>
          <w:kern w:val="0"/>
          <w:szCs w:val="20"/>
          <w:lang w:eastAsia="en-IE"/>
        </w:rPr>
      </w:pPr>
    </w:p>
    <w:p w14:paraId="59264E6D" w14:textId="77777777" w:rsidR="008E2EA4" w:rsidRDefault="00BD5180">
      <w:pPr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b/>
          <w:caps/>
          <w:kern w:val="0"/>
          <w:szCs w:val="20"/>
          <w:lang w:eastAsia="en-IE"/>
        </w:rPr>
        <w:t>PATHWAY DESCRIPTION</w:t>
      </w:r>
      <w:r>
        <w:rPr>
          <w:rFonts w:ascii="Arial" w:eastAsia="Times New Roman" w:hAnsi="Arial" w:cs="Arial"/>
          <w:kern w:val="0"/>
          <w:szCs w:val="20"/>
          <w:lang w:eastAsia="en-IE"/>
        </w:rPr>
        <w:t> </w:t>
      </w:r>
    </w:p>
    <w:p w14:paraId="2D9B8F8E" w14:textId="77777777" w:rsidR="008E2EA4" w:rsidRDefault="008E2E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6"/>
          <w:lang w:eastAsia="en-IE"/>
        </w:rPr>
      </w:pPr>
    </w:p>
    <w:p w14:paraId="43DEF9E7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[This section should clearly present the pathway modelled.]</w:t>
      </w:r>
    </w:p>
    <w:p w14:paraId="5C25D90D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304A22A" w14:textId="77777777" w:rsidR="008E2EA4" w:rsidRDefault="008E2E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aps/>
          <w:kern w:val="0"/>
          <w:szCs w:val="20"/>
          <w:lang w:eastAsia="en-IE"/>
        </w:rPr>
      </w:pPr>
    </w:p>
    <w:p w14:paraId="53CDE1F3" w14:textId="77777777" w:rsidR="008E2EA4" w:rsidRDefault="00BD5180">
      <w:pPr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b/>
          <w:caps/>
          <w:kern w:val="0"/>
          <w:szCs w:val="20"/>
          <w:lang w:eastAsia="en-IE"/>
        </w:rPr>
        <w:t>INPUT DESCRIPTION</w:t>
      </w: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1C620610" w14:textId="77777777" w:rsidR="008E2EA4" w:rsidRDefault="008E2E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778F6508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 xml:space="preserve">[This section should clearly </w:t>
      </w:r>
      <w:r>
        <w:rPr>
          <w:rFonts w:ascii="Arial" w:eastAsia="Times New Roman" w:hAnsi="Arial" w:cs="Arial"/>
          <w:kern w:val="0"/>
          <w:szCs w:val="20"/>
          <w:lang w:eastAsia="en-IE"/>
        </w:rPr>
        <w:t>present the input used for the modelling exercise.</w:t>
      </w:r>
    </w:p>
    <w:p w14:paraId="5323E036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225D5EA5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The source of the data and of the model used should be reported, according to the indications about data quality provided in the LCA Guidelines.]</w:t>
      </w:r>
    </w:p>
    <w:p w14:paraId="7304B069" w14:textId="77777777" w:rsidR="008E2EA4" w:rsidRDefault="008E2EA4">
      <w:pPr>
        <w:spacing w:after="0" w:line="240" w:lineRule="auto"/>
        <w:jc w:val="both"/>
        <w:textAlignment w:val="baseline"/>
      </w:pPr>
    </w:p>
    <w:p w14:paraId="15F0AF7F" w14:textId="77777777" w:rsidR="008E2EA4" w:rsidRDefault="008E2E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4D895EA6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Table 1: </w:t>
      </w:r>
      <w:proofErr w:type="spellStart"/>
      <w:r>
        <w:rPr>
          <w:rFonts w:ascii="Arial" w:eastAsia="Times New Roman" w:hAnsi="Arial" w:cs="Arial"/>
          <w:b/>
          <w:i/>
          <w:kern w:val="0"/>
          <w:lang w:eastAsia="en-IE"/>
        </w:rPr>
        <w:t>e</w:t>
      </w:r>
      <w:r>
        <w:rPr>
          <w:rFonts w:ascii="Arial" w:eastAsia="Times New Roman" w:hAnsi="Arial" w:cs="Arial"/>
          <w:b/>
          <w:i/>
          <w:kern w:val="0"/>
          <w:vertAlign w:val="subscript"/>
          <w:lang w:eastAsia="en-IE"/>
        </w:rPr>
        <w:t>fecu</w:t>
      </w:r>
      <w:proofErr w:type="spellEnd"/>
      <w:r>
        <w:rPr>
          <w:rFonts w:ascii="Arial" w:eastAsia="Times New Roman" w:hAnsi="Arial" w:cs="Arial"/>
          <w:b/>
          <w:kern w:val="0"/>
          <w:lang w:eastAsia="en-IE"/>
        </w:rPr>
        <w:t xml:space="preserve"> inputs and outputs for XXX </w:t>
      </w:r>
      <w:r>
        <w:rPr>
          <w:rFonts w:ascii="Arial" w:eastAsia="Times New Roman" w:hAnsi="Arial" w:cs="Arial"/>
          <w:b/>
          <w:kern w:val="0"/>
          <w:lang w:eastAsia="en-IE"/>
        </w:rPr>
        <w:t>feedstock</w:t>
      </w:r>
      <w:bookmarkStart w:id="0" w:name="_Hlk185618184"/>
      <w:r>
        <w:rPr>
          <w:rFonts w:ascii="Arial" w:eastAsia="Times New Roman" w:hAnsi="Arial" w:cs="Arial"/>
          <w:b/>
          <w:kern w:val="0"/>
          <w:lang w:eastAsia="en-IE"/>
        </w:rPr>
        <w:t xml:space="preserve">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  <w:bookmarkEnd w:id="0"/>
    </w:p>
    <w:p w14:paraId="2A00D308" w14:textId="77777777" w:rsidR="008E2EA4" w:rsidRDefault="008E2EA4">
      <w:pPr>
        <w:keepNext/>
        <w:keepLines/>
        <w:tabs>
          <w:tab w:val="left" w:pos="851"/>
        </w:tabs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en-IE"/>
        </w:rPr>
      </w:pPr>
    </w:p>
    <w:p w14:paraId="7CACB3BE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kern w:val="0"/>
          <w:sz w:val="20"/>
          <w:szCs w:val="20"/>
          <w:lang w:eastAsia="en-IE"/>
        </w:rPr>
        <w:t>  </w:t>
      </w:r>
      <w:r>
        <w:rPr>
          <w:rFonts w:ascii="Arial" w:eastAsia="Times New Roman" w:hAnsi="Arial" w:cs="Arial"/>
          <w:kern w:val="0"/>
          <w:szCs w:val="20"/>
          <w:lang w:eastAsia="en-IE"/>
        </w:rPr>
        <w:t> </w:t>
      </w:r>
    </w:p>
    <w:p w14:paraId="08787810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Additional information:</w:t>
      </w:r>
    </w:p>
    <w:p w14:paraId="10A2B0FE" w14:textId="77777777" w:rsidR="008E2EA4" w:rsidRDefault="008E2EA4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6"/>
          <w:szCs w:val="16"/>
          <w:lang w:eastAsia="en-IE"/>
        </w:rPr>
      </w:pPr>
    </w:p>
    <w:p w14:paraId="4C6CB612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Table 2: </w:t>
      </w:r>
      <w:r>
        <w:rPr>
          <w:rFonts w:ascii="Arial" w:eastAsia="Times New Roman" w:hAnsi="Arial" w:cs="Arial"/>
          <w:b/>
          <w:i/>
          <w:kern w:val="0"/>
          <w:lang w:eastAsia="en-IE"/>
        </w:rPr>
        <w:t>e</w:t>
      </w:r>
      <w:r>
        <w:rPr>
          <w:rFonts w:ascii="Arial" w:eastAsia="Times New Roman" w:hAnsi="Arial" w:cs="Arial"/>
          <w:b/>
          <w:i/>
          <w:kern w:val="0"/>
          <w:vertAlign w:val="subscript"/>
          <w:lang w:eastAsia="en-IE"/>
        </w:rPr>
        <w:t>p</w:t>
      </w: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 inputs and outputs/losses for XXXX conversion process, including all the needed steps to pre-treat the feedstock in order to be able to </w:t>
      </w: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convert it into the fuel, via the selected conversion process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0191BA6B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16"/>
          <w:szCs w:val="16"/>
          <w:lang w:eastAsia="en-IE"/>
        </w:rPr>
      </w:pPr>
    </w:p>
    <w:p w14:paraId="4EA9413C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>Table 3: Inputs for regional electricity generation mixes</w:t>
      </w:r>
      <w:r>
        <w:rPr>
          <w:rFonts w:ascii="Arial" w:eastAsia="Times New Roman" w:hAnsi="Arial" w:cs="Arial"/>
          <w:b/>
          <w:kern w:val="0"/>
          <w:lang w:eastAsia="en-IE"/>
        </w:rPr>
        <w:t xml:space="preserve"> </w:t>
      </w:r>
      <w:r>
        <w:rPr>
          <w:rFonts w:ascii="Arial" w:eastAsia="Times New Roman" w:hAnsi="Arial" w:cs="Arial"/>
          <w:bCs/>
          <w:kern w:val="0"/>
          <w:lang w:eastAsia="en-IE"/>
        </w:rPr>
        <w:t xml:space="preserve">[use the template provided in the separate LCA calculation tool] </w:t>
      </w:r>
      <w:r>
        <w:rPr>
          <w:rFonts w:ascii="Arial" w:eastAsia="Times New Roman" w:hAnsi="Arial" w:cs="Arial"/>
          <w:kern w:val="0"/>
          <w:lang w:eastAsia="en-IE"/>
        </w:rPr>
        <w:t xml:space="preserve">OR </w:t>
      </w:r>
      <w:r>
        <w:rPr>
          <w:rFonts w:ascii="Arial" w:eastAsia="Times New Roman" w:hAnsi="Arial" w:cs="Arial"/>
          <w:kern w:val="0"/>
          <w:lang w:eastAsia="en-IE"/>
        </w:rPr>
        <w:t>[Alternatively, please provide a statement with a clear referenced indication of the Greenhouse gas Intensity of the grid (gCO</w:t>
      </w:r>
      <w:r>
        <w:rPr>
          <w:rFonts w:ascii="Arial" w:eastAsia="Times New Roman" w:hAnsi="Arial" w:cs="Arial"/>
          <w:kern w:val="0"/>
          <w:vertAlign w:val="subscript"/>
          <w:lang w:eastAsia="en-IE"/>
        </w:rPr>
        <w:t>2</w:t>
      </w:r>
      <w:r>
        <w:rPr>
          <w:rFonts w:ascii="Arial" w:eastAsia="Times New Roman" w:hAnsi="Arial" w:cs="Arial"/>
          <w:kern w:val="0"/>
          <w:lang w:eastAsia="en-IE"/>
        </w:rPr>
        <w:t>eq/kWh or gCO</w:t>
      </w:r>
      <w:r>
        <w:rPr>
          <w:rFonts w:ascii="Arial" w:eastAsia="Times New Roman" w:hAnsi="Arial" w:cs="Arial"/>
          <w:kern w:val="0"/>
          <w:vertAlign w:val="subscript"/>
          <w:lang w:eastAsia="en-IE"/>
        </w:rPr>
        <w:t>2</w:t>
      </w:r>
      <w:r>
        <w:rPr>
          <w:rFonts w:ascii="Arial" w:eastAsia="Times New Roman" w:hAnsi="Arial" w:cs="Arial"/>
          <w:kern w:val="0"/>
          <w:lang w:eastAsia="en-IE"/>
        </w:rPr>
        <w:t>eq/MJ), and provide the reference used.]</w:t>
      </w:r>
    </w:p>
    <w:p w14:paraId="4E3874A3" w14:textId="77777777" w:rsidR="008E2EA4" w:rsidRDefault="008E2EA4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vertAlign w:val="superscript"/>
          <w:lang w:eastAsia="en-IE"/>
        </w:rPr>
      </w:pPr>
    </w:p>
    <w:p w14:paraId="66DF6E59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Table 4: </w:t>
      </w:r>
      <w:proofErr w:type="spellStart"/>
      <w:r>
        <w:rPr>
          <w:rFonts w:ascii="Arial" w:eastAsia="Times New Roman" w:hAnsi="Arial" w:cs="Arial"/>
          <w:b/>
          <w:bCs/>
          <w:kern w:val="0"/>
          <w:lang w:eastAsia="en-IE"/>
        </w:rPr>
        <w:t>e</w:t>
      </w:r>
      <w:r>
        <w:rPr>
          <w:rFonts w:ascii="Arial" w:eastAsia="Times New Roman" w:hAnsi="Arial" w:cs="Arial"/>
          <w:b/>
          <w:bCs/>
          <w:kern w:val="0"/>
          <w:vertAlign w:val="subscript"/>
          <w:lang w:eastAsia="en-IE"/>
        </w:rPr>
        <w:t>td</w:t>
      </w:r>
      <w:proofErr w:type="spellEnd"/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 Emissions from inputs and losses associated with the transportation of feedstock and fuels. In filling the table, please add the fuel used – In the ʺData source/model usedʺ please specify the type of fuel, the specific efficiency </w:t>
      </w:r>
      <w:r>
        <w:rPr>
          <w:rFonts w:ascii="Arial" w:eastAsia="Times New Roman" w:hAnsi="Arial" w:cs="Arial"/>
          <w:b/>
          <w:bCs/>
          <w:kern w:val="0"/>
          <w:szCs w:val="20"/>
          <w:lang w:eastAsia="en-IE"/>
        </w:rPr>
        <w:t xml:space="preserve">and energy converter, if available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24994412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Cs w:val="20"/>
          <w:lang w:eastAsia="en-IE"/>
        </w:rPr>
      </w:pPr>
    </w:p>
    <w:p w14:paraId="26D5240F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en-IE"/>
        </w:rPr>
      </w:pPr>
    </w:p>
    <w:p w14:paraId="59D50BCB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4"/>
          <w:szCs w:val="14"/>
          <w:lang w:eastAsia="en-IE"/>
        </w:rPr>
      </w:pPr>
    </w:p>
    <w:p w14:paraId="5D325B5D" w14:textId="77777777" w:rsidR="008E2EA4" w:rsidRDefault="00BD5180">
      <w:pPr>
        <w:tabs>
          <w:tab w:val="left" w:pos="851"/>
        </w:tabs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6FE7D8D9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b/>
          <w:caps/>
          <w:kern w:val="0"/>
          <w:szCs w:val="20"/>
          <w:lang w:eastAsia="en-IE"/>
        </w:rPr>
        <w:lastRenderedPageBreak/>
        <w:t>MAIN RESULTS</w:t>
      </w: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2C76E369" w14:textId="77777777" w:rsidR="008E2EA4" w:rsidRDefault="008E2EA4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67FF003E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[This section should present the results of the modelled pathway.]</w:t>
      </w:r>
    </w:p>
    <w:p w14:paraId="3CB94734" w14:textId="77777777" w:rsidR="008E2EA4" w:rsidRDefault="008E2EA4">
      <w:pPr>
        <w:keepNext/>
        <w:keepLines/>
        <w:tabs>
          <w:tab w:val="left" w:pos="851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IE"/>
        </w:rPr>
      </w:pPr>
    </w:p>
    <w:p w14:paraId="2AED7952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>Table 5: Fuel identification 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73541A0D" w14:textId="77777777" w:rsidR="008E2EA4" w:rsidRDefault="008E2EA4">
      <w:pPr>
        <w:keepNext/>
        <w:keepLines/>
        <w:tabs>
          <w:tab w:val="left" w:pos="851"/>
        </w:tabs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en-IE"/>
        </w:rPr>
      </w:pPr>
    </w:p>
    <w:p w14:paraId="7C7847B3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2D639C48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Additional information:</w:t>
      </w:r>
    </w:p>
    <w:p w14:paraId="616F528B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  <w:r>
        <w:rPr>
          <w:rFonts w:ascii="Arial" w:eastAsia="Times New Roman" w:hAnsi="Arial" w:cs="Arial"/>
          <w:b/>
          <w:bCs/>
          <w:kern w:val="0"/>
          <w:lang w:eastAsia="en-IE"/>
        </w:rPr>
        <w:t> </w:t>
      </w:r>
    </w:p>
    <w:p w14:paraId="06BE76EA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Table 6: Proposed </w:t>
      </w: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default emission factors for XXX-converted in a YYYY pathway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  <w:r>
        <w:rPr>
          <w:rFonts w:ascii="Arial" w:eastAsia="Times New Roman" w:hAnsi="Arial" w:cs="Arial"/>
          <w:b/>
          <w:bCs/>
          <w:kern w:val="0"/>
          <w:lang w:eastAsia="en-IE"/>
        </w:rPr>
        <w:t>  </w:t>
      </w:r>
    </w:p>
    <w:p w14:paraId="53E4AF5F" w14:textId="77777777" w:rsidR="008E2EA4" w:rsidRDefault="008E2EA4">
      <w:pPr>
        <w:keepNext/>
        <w:keepLines/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IE"/>
        </w:rPr>
      </w:pPr>
    </w:p>
    <w:p w14:paraId="0728AA7A" w14:textId="77777777" w:rsidR="008E2EA4" w:rsidRDefault="00BD5180">
      <w:pPr>
        <w:keepNext/>
        <w:keepLines/>
        <w:tabs>
          <w:tab w:val="left" w:pos="851"/>
        </w:tabs>
        <w:spacing w:after="0" w:line="240" w:lineRule="auto"/>
        <w:ind w:left="720"/>
        <w:jc w:val="both"/>
        <w:textAlignment w:val="baseline"/>
      </w:pPr>
      <w:r>
        <w:rPr>
          <w:rFonts w:ascii="Arial" w:eastAsia="Times New Roman" w:hAnsi="Arial" w:cs="Arial"/>
          <w:b/>
          <w:bCs/>
          <w:kern w:val="0"/>
          <w:lang w:eastAsia="en-IE"/>
        </w:rPr>
        <w:t xml:space="preserve">Table 7: Proposed default emission factors for XXX-converted in a YYYY pathway for comparative purposes using GWP20 </w:t>
      </w:r>
      <w:r>
        <w:rPr>
          <w:rFonts w:ascii="Arial" w:eastAsia="Times New Roman" w:hAnsi="Arial" w:cs="Arial"/>
          <w:bCs/>
          <w:kern w:val="0"/>
          <w:lang w:eastAsia="en-IE"/>
        </w:rPr>
        <w:t>[use the template provided in the separate LCA calculation tool]</w:t>
      </w:r>
    </w:p>
    <w:p w14:paraId="3E20D16D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0C0F2AE7" w14:textId="77777777" w:rsidR="008E2EA4" w:rsidRDefault="008E2EA4">
      <w:pPr>
        <w:keepNext/>
        <w:keepLine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aps/>
          <w:kern w:val="0"/>
          <w:szCs w:val="20"/>
          <w:lang w:eastAsia="en-IE"/>
        </w:rPr>
      </w:pPr>
    </w:p>
    <w:p w14:paraId="3CED8D66" w14:textId="77777777" w:rsidR="008E2EA4" w:rsidRDefault="00BD5180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en-IE"/>
        </w:rPr>
      </w:pPr>
      <w:r>
        <w:rPr>
          <w:rFonts w:ascii="Arial" w:eastAsia="Times New Roman" w:hAnsi="Arial" w:cs="Arial"/>
          <w:b/>
          <w:kern w:val="0"/>
          <w:lang w:eastAsia="en-IE"/>
        </w:rPr>
        <w:t>Additional information:</w:t>
      </w:r>
    </w:p>
    <w:p w14:paraId="005665B7" w14:textId="77777777" w:rsidR="008E2EA4" w:rsidRDefault="008E2EA4">
      <w:pPr>
        <w:keepNext/>
        <w:keepLine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aps/>
          <w:kern w:val="0"/>
          <w:szCs w:val="20"/>
          <w:lang w:eastAsia="en-IE"/>
        </w:rPr>
      </w:pPr>
    </w:p>
    <w:p w14:paraId="0D88C0ED" w14:textId="77777777" w:rsidR="008E2EA4" w:rsidRDefault="00BD5180">
      <w:pPr>
        <w:keepNext/>
        <w:keepLines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b/>
          <w:caps/>
          <w:kern w:val="0"/>
          <w:szCs w:val="20"/>
          <w:lang w:eastAsia="en-IE"/>
        </w:rPr>
        <w:t>APPENDIX </w:t>
      </w:r>
      <w:r>
        <w:rPr>
          <w:rFonts w:ascii="Arial" w:eastAsia="Times New Roman" w:hAnsi="Arial" w:cs="Arial"/>
          <w:kern w:val="0"/>
          <w:szCs w:val="20"/>
          <w:lang w:eastAsia="en-IE"/>
        </w:rPr>
        <w:t> </w:t>
      </w:r>
    </w:p>
    <w:p w14:paraId="525DF45A" w14:textId="77777777" w:rsidR="008E2EA4" w:rsidRDefault="008E2EA4">
      <w:pPr>
        <w:keepNext/>
        <w:keepLines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79740800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[Brief description of the pathway.</w:t>
      </w:r>
    </w:p>
    <w:p w14:paraId="7363DC36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5903F954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Brief description of the technology.</w:t>
      </w:r>
    </w:p>
    <w:p w14:paraId="0880F325" w14:textId="77777777" w:rsidR="008E2EA4" w:rsidRDefault="008E2EA4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55FC8DEF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…]</w:t>
      </w:r>
    </w:p>
    <w:p w14:paraId="54DDEC34" w14:textId="77777777" w:rsidR="008E2EA4" w:rsidRDefault="008E2EA4">
      <w:pPr>
        <w:keepNext/>
        <w:keepLines/>
        <w:spacing w:after="0" w:line="240" w:lineRule="auto"/>
        <w:jc w:val="both"/>
        <w:textAlignment w:val="baseline"/>
      </w:pPr>
    </w:p>
    <w:p w14:paraId="60BB73AF" w14:textId="77777777" w:rsidR="008E2EA4" w:rsidRDefault="00BD5180">
      <w:pPr>
        <w:tabs>
          <w:tab w:val="left" w:pos="851"/>
        </w:tabs>
        <w:spacing w:after="0" w:line="240" w:lineRule="auto"/>
        <w:ind w:left="360"/>
        <w:jc w:val="both"/>
        <w:textAlignment w:val="baseline"/>
      </w:pP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1251F6E4" w14:textId="77777777" w:rsidR="008E2EA4" w:rsidRDefault="00BD5180">
      <w:pPr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b/>
          <w:kern w:val="0"/>
          <w:szCs w:val="20"/>
          <w:lang w:eastAsia="en-IE"/>
        </w:rPr>
        <w:t>REFERENCES</w:t>
      </w:r>
      <w:r>
        <w:rPr>
          <w:rFonts w:ascii="Arial" w:eastAsia="Times New Roman" w:hAnsi="Arial" w:cs="Arial"/>
          <w:kern w:val="0"/>
          <w:szCs w:val="20"/>
          <w:lang w:eastAsia="en-IE"/>
        </w:rPr>
        <w:t>  </w:t>
      </w:r>
    </w:p>
    <w:p w14:paraId="6D793509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5DF47A8D" w14:textId="77777777" w:rsidR="008E2EA4" w:rsidRDefault="00BD518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  <w:r>
        <w:rPr>
          <w:rFonts w:ascii="Arial" w:eastAsia="Times New Roman" w:hAnsi="Arial" w:cs="Arial"/>
          <w:kern w:val="0"/>
          <w:szCs w:val="20"/>
          <w:lang w:eastAsia="en-IE"/>
        </w:rPr>
        <w:t>[REF (APA format).]</w:t>
      </w:r>
    </w:p>
    <w:p w14:paraId="070E5CCD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4D0AD553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3A6BB7A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1E73077F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DF35440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AF3EF2C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B2B2F3F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02C04993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25D33D08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3D93154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2E4630B1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55C6D396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47B000CD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461B941C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2B0DD5A2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4CC96B10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661D1C07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05C922DF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104B6ED3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38E755C4" w14:textId="77777777" w:rsidR="008E2EA4" w:rsidRDefault="008E2EA4">
      <w:pPr>
        <w:tabs>
          <w:tab w:val="left" w:pos="85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:lang w:eastAsia="en-IE"/>
        </w:rPr>
      </w:pPr>
    </w:p>
    <w:p w14:paraId="1DD21420" w14:textId="77777777" w:rsidR="008E2EA4" w:rsidRDefault="008E2EA4"/>
    <w:sectPr w:rsidR="008E2EA4">
      <w:headerReference w:type="default" r:id="rId6"/>
      <w:headerReference w:type="first" r:id="rId7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A103" w14:textId="77777777" w:rsidR="00BD5180" w:rsidRDefault="00BD5180">
      <w:pPr>
        <w:spacing w:after="0" w:line="240" w:lineRule="auto"/>
      </w:pPr>
      <w:r>
        <w:separator/>
      </w:r>
    </w:p>
  </w:endnote>
  <w:endnote w:type="continuationSeparator" w:id="0">
    <w:p w14:paraId="59F23A8D" w14:textId="77777777" w:rsidR="00BD5180" w:rsidRDefault="00BD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7125" w14:textId="77777777" w:rsidR="00BD5180" w:rsidRDefault="00BD51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93889A" w14:textId="77777777" w:rsidR="00BD5180" w:rsidRDefault="00BD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0338" w14:textId="77777777" w:rsidR="00BD5180" w:rsidRDefault="00BD518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Appendix 4 – </w:t>
    </w:r>
    <w:proofErr w:type="spellStart"/>
    <w:r>
      <w:rPr>
        <w:rFonts w:ascii="Arial" w:hAnsi="Arial" w:cs="Arial"/>
      </w:rPr>
      <w:t>WtT</w:t>
    </w:r>
    <w:proofErr w:type="spellEnd"/>
  </w:p>
  <w:p w14:paraId="6C1D642B" w14:textId="77777777" w:rsidR="00BD5180" w:rsidRDefault="00BD5180">
    <w:pPr>
      <w:pStyle w:val="Header"/>
      <w:pBdr>
        <w:bottom w:val="single" w:sz="6" w:space="1" w:color="000000"/>
      </w:pBdr>
      <w:jc w:val="right"/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3E98A3E2" w14:textId="77777777" w:rsidR="00BD5180" w:rsidRDefault="00BD5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05D0" w14:textId="77777777" w:rsidR="00BD5180" w:rsidRDefault="00BD518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Appendix 4 – </w:t>
    </w:r>
    <w:proofErr w:type="spellStart"/>
    <w:r>
      <w:rPr>
        <w:rFonts w:ascii="Arial" w:hAnsi="Arial" w:cs="Arial"/>
      </w:rPr>
      <w:t>WtT</w:t>
    </w:r>
    <w:proofErr w:type="spellEnd"/>
  </w:p>
  <w:p w14:paraId="6121D8A6" w14:textId="77777777" w:rsidR="00BD5180" w:rsidRDefault="00BD5180">
    <w:pPr>
      <w:pStyle w:val="Header"/>
      <w:pBdr>
        <w:bottom w:val="single" w:sz="6" w:space="1" w:color="000000"/>
      </w:pBdr>
      <w:jc w:val="right"/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55</w:t>
    </w:r>
    <w:r>
      <w:rPr>
        <w:rFonts w:ascii="Arial" w:hAnsi="Arial" w:cs="Arial"/>
      </w:rPr>
      <w:fldChar w:fldCharType="end"/>
    </w:r>
  </w:p>
  <w:p w14:paraId="6A8146AC" w14:textId="77777777" w:rsidR="00BD5180" w:rsidRDefault="00BD5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2EA4"/>
    <w:rsid w:val="008E2EA4"/>
    <w:rsid w:val="00BD5180"/>
    <w:rsid w:val="00D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84E1"/>
  <w15:docId w15:val="{CFA8E044-92C4-436D-9825-7A19D71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eastAsia="Times New Roman"/>
      <w:color w:val="595959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sz w:val="24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eastAsia="Times New Roman"/>
      <w:color w:val="27272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sz w:val="24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FootnoteReference">
    <w:name w:val="footnote reference"/>
    <w:rPr>
      <w:rFonts w:ascii="Arial" w:hAnsi="Arial"/>
      <w:position w:val="0"/>
      <w:sz w:val="22"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/>
      <w:kern w:val="0"/>
      <w:sz w:val="18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Times New Roman"/>
      <w:kern w:val="0"/>
      <w:sz w:val="18"/>
      <w:szCs w:val="20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2"/>
      <w:szCs w:val="22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4" ma:contentTypeDescription="" ma:contentTypeScope="" ma:versionID="18788af2be271d9a59aabe6ae97f29ce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e1b44336e4af54e03c3e27329f6fe9d8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b9833-8a97-44fa-abba-75b5efbe9249">
      <Terms xmlns="http://schemas.microsoft.com/office/infopath/2007/PartnerControls"/>
    </lcf76f155ced4ddcb4097134ff3c332f>
    <TaxCatchAll xmlns="98fe26f0-1c7a-4e3c-b1ce-54d5981ad926" xsi:nil="true"/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A4D9867F-83E7-4D95-94AF-713AE42E167F}"/>
</file>

<file path=customXml/itemProps2.xml><?xml version="1.0" encoding="utf-8"?>
<ds:datastoreItem xmlns:ds="http://schemas.openxmlformats.org/officeDocument/2006/customXml" ds:itemID="{F1E695F9-A9C4-47E7-A1A4-BC089E7646A5}"/>
</file>

<file path=customXml/itemProps3.xml><?xml version="1.0" encoding="utf-8"?>
<ds:datastoreItem xmlns:ds="http://schemas.openxmlformats.org/officeDocument/2006/customXml" ds:itemID="{DD97BCFB-55F6-4B0F-BCCB-7217636CA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Aguilera</dc:creator>
  <dc:description/>
  <cp:lastModifiedBy>Laura Mateos Moya</cp:lastModifiedBy>
  <cp:revision>2</cp:revision>
  <dcterms:created xsi:type="dcterms:W3CDTF">2025-04-04T10:26:00Z</dcterms:created>
  <dcterms:modified xsi:type="dcterms:W3CDTF">2025-04-04T10:26:00Z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</Properties>
</file>